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spacing w:beforeLines="50" w:afterLines="50"/>
        <w:ind w:left="379" w:hanging="379"/>
        <w:jc w:val="center"/>
        <w:rPr>
          <w:rFonts w:ascii="宋体" w:hAnsi="宋体" w:cs="Times New Roman"/>
          <w:b/>
          <w:bCs/>
          <w:kern w:val="0"/>
          <w:sz w:val="24"/>
          <w:szCs w:val="24"/>
        </w:rPr>
      </w:pPr>
      <w:bookmarkStart w:id="0" w:name="_GoBack"/>
      <w:r>
        <w:rPr>
          <w:rFonts w:hint="eastAsia" w:ascii="宋体" w:hAnsi="宋体" w:cs="Times New Roman"/>
          <w:b/>
          <w:bCs/>
          <w:kern w:val="0"/>
          <w:sz w:val="24"/>
          <w:szCs w:val="24"/>
        </w:rPr>
        <w:t>上海财经大学法学院学位论文注释体例</w:t>
      </w:r>
    </w:p>
    <w:bookmarkEnd w:id="0"/>
    <w:p>
      <w:pPr>
        <w:widowControl/>
        <w:shd w:val="clear" w:color="auto" w:fill="FFFFFF"/>
        <w:spacing w:beforeLines="50" w:afterLines="50"/>
        <w:ind w:left="379" w:hanging="379"/>
        <w:jc w:val="center"/>
        <w:rPr>
          <w:rFonts w:ascii="宋体" w:hAnsi="宋体" w:cs="Times New Roman"/>
          <w:b/>
          <w:bCs/>
          <w:kern w:val="0"/>
          <w:sz w:val="24"/>
          <w:szCs w:val="24"/>
        </w:rPr>
      </w:pPr>
    </w:p>
    <w:p>
      <w:pPr>
        <w:widowControl/>
        <w:shd w:val="clear" w:color="auto" w:fill="FFFFFF"/>
        <w:spacing w:beforeLines="50" w:afterLines="50"/>
        <w:ind w:left="379" w:hanging="379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Times New Roman"/>
          <w:b/>
          <w:bCs/>
          <w:kern w:val="0"/>
          <w:sz w:val="24"/>
          <w:szCs w:val="24"/>
        </w:rPr>
        <w:t>一、一般体例</w:t>
      </w:r>
    </w:p>
    <w:p>
      <w:pPr>
        <w:widowControl/>
        <w:shd w:val="clear" w:color="auto" w:fill="FFFFFF"/>
        <w:spacing w:beforeLines="50" w:afterLines="50"/>
        <w:ind w:left="379" w:hanging="379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 1.   </w:t>
      </w:r>
      <w:r>
        <w:rPr>
          <w:rFonts w:hint="eastAsia" w:ascii="宋体" w:hAnsi="宋体" w:cs="Times New Roman"/>
          <w:kern w:val="0"/>
          <w:sz w:val="24"/>
          <w:szCs w:val="24"/>
        </w:rPr>
        <w:t>引征以必要为限，并应能体现所援引文献、资料等的信息特点，能（</w:t>
      </w:r>
      <w:r>
        <w:rPr>
          <w:rFonts w:ascii="宋体" w:hAnsi="宋体" w:cs="Times New Roman"/>
          <w:kern w:val="0"/>
          <w:sz w:val="24"/>
          <w:szCs w:val="24"/>
        </w:rPr>
        <w:t>1</w:t>
      </w:r>
      <w:r>
        <w:rPr>
          <w:rFonts w:hint="eastAsia" w:ascii="宋体" w:hAnsi="宋体" w:cs="Times New Roman"/>
          <w:kern w:val="0"/>
          <w:sz w:val="24"/>
          <w:szCs w:val="24"/>
        </w:rPr>
        <w:t>）与其他文献、资料等相区别；（</w:t>
      </w:r>
      <w:r>
        <w:rPr>
          <w:rFonts w:ascii="宋体" w:hAnsi="宋体" w:cs="Times New Roman"/>
          <w:kern w:val="0"/>
          <w:sz w:val="24"/>
          <w:szCs w:val="24"/>
        </w:rPr>
        <w:t>2</w:t>
      </w:r>
      <w:r>
        <w:rPr>
          <w:rFonts w:hint="eastAsia" w:ascii="宋体" w:hAnsi="宋体" w:cs="Times New Roman"/>
          <w:kern w:val="0"/>
          <w:sz w:val="24"/>
          <w:szCs w:val="24"/>
        </w:rPr>
        <w:t>）能说明该文献、资料等的相关来源和出处，方便读者查找。</w:t>
      </w:r>
    </w:p>
    <w:p>
      <w:pPr>
        <w:widowControl/>
        <w:shd w:val="clear" w:color="auto" w:fill="FFFFFF"/>
        <w:spacing w:beforeLines="50" w:afterLines="50"/>
        <w:ind w:left="379" w:hanging="379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2.   </w:t>
      </w:r>
      <w:r>
        <w:rPr>
          <w:rFonts w:hint="eastAsia" w:ascii="宋体" w:hAnsi="宋体" w:cs="Times New Roman"/>
          <w:kern w:val="0"/>
          <w:sz w:val="24"/>
          <w:szCs w:val="24"/>
        </w:rPr>
        <w:t>所有注释以页下脚注形式连续编排。</w:t>
      </w:r>
    </w:p>
    <w:p>
      <w:pPr>
        <w:widowControl/>
        <w:shd w:val="clear" w:color="auto" w:fill="FFFFFF"/>
        <w:spacing w:beforeLines="50" w:afterLines="50"/>
        <w:ind w:left="379" w:hanging="379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3.   </w:t>
      </w:r>
      <w:r>
        <w:rPr>
          <w:rFonts w:hint="eastAsia" w:ascii="宋体" w:hAnsi="宋体" w:cs="Times New Roman"/>
          <w:kern w:val="0"/>
          <w:sz w:val="24"/>
          <w:szCs w:val="24"/>
        </w:rPr>
        <w:t>正文中出现一百字以上的引文，不必加注引号，直接将引文部分左边缩排两格，并使用楷体字予以区分。一百字以下引文，加注引号，直接放在正文之中。</w:t>
      </w:r>
    </w:p>
    <w:p>
      <w:pPr>
        <w:widowControl/>
        <w:shd w:val="clear" w:color="auto" w:fill="FFFFFF"/>
        <w:spacing w:beforeLines="50" w:afterLines="50"/>
        <w:ind w:left="379" w:hanging="379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4</w:t>
      </w:r>
      <w:r>
        <w:rPr>
          <w:rFonts w:hint="eastAsia" w:ascii="宋体" w:hAnsi="宋体" w:cs="Times New Roman"/>
          <w:kern w:val="0"/>
          <w:sz w:val="24"/>
          <w:szCs w:val="24"/>
        </w:rPr>
        <w:t>．</w:t>
      </w:r>
      <w:r>
        <w:rPr>
          <w:rFonts w:ascii="宋体" w:hAnsi="宋体" w:cs="Times New Roman"/>
          <w:kern w:val="0"/>
          <w:sz w:val="24"/>
          <w:szCs w:val="24"/>
        </w:rPr>
        <w:t> </w:t>
      </w:r>
      <w:r>
        <w:rPr>
          <w:rFonts w:hint="eastAsia" w:ascii="宋体" w:hAnsi="宋体" w:cs="Times New Roman"/>
          <w:kern w:val="0"/>
          <w:sz w:val="24"/>
          <w:szCs w:val="24"/>
        </w:rPr>
        <w:t>直接引征不使用引导词或加引导词；间接性的带有作者个人的概括理解的，以及支持性或背景性的引用，可使用“参见”、“例如”、“例见”、“又见”、“参照”等；对立性引征的引导词为“相反”、“不同的见解，参见”、“但见”等。</w:t>
      </w:r>
    </w:p>
    <w:p>
      <w:pPr>
        <w:widowControl/>
        <w:shd w:val="clear" w:color="auto" w:fill="FFFFFF"/>
        <w:spacing w:beforeLines="50" w:afterLines="50"/>
        <w:ind w:left="379" w:hanging="379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5.   </w:t>
      </w:r>
      <w:r>
        <w:rPr>
          <w:rFonts w:hint="eastAsia" w:ascii="宋体" w:hAnsi="宋体" w:cs="Times New Roman"/>
          <w:kern w:val="0"/>
          <w:sz w:val="24"/>
          <w:szCs w:val="24"/>
        </w:rPr>
        <w:t>作者（包括编者、译者、机构作者等）为三人以上时，可仅列出第一人，使用“等”予以省略。</w:t>
      </w:r>
    </w:p>
    <w:p>
      <w:pPr>
        <w:widowControl/>
        <w:shd w:val="clear" w:color="auto" w:fill="FFFFFF"/>
        <w:spacing w:beforeLines="50" w:afterLines="50"/>
        <w:ind w:left="379" w:hanging="379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6</w:t>
      </w:r>
      <w:r>
        <w:rPr>
          <w:rFonts w:hint="eastAsia" w:ascii="宋体" w:hAnsi="宋体" w:cs="Times New Roman"/>
          <w:kern w:val="0"/>
          <w:sz w:val="24"/>
          <w:szCs w:val="24"/>
        </w:rPr>
        <w:t>．引征二手文献、资料，需注明该原始文献资料的作者、标题，在其后注明“转引自”该援引的文献、资料等。</w:t>
      </w:r>
    </w:p>
    <w:p>
      <w:pPr>
        <w:widowControl/>
        <w:shd w:val="clear" w:color="auto" w:fill="FFFFFF"/>
        <w:spacing w:beforeLines="50" w:afterLines="50"/>
        <w:ind w:left="379" w:hanging="379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7.   </w:t>
      </w:r>
      <w:r>
        <w:rPr>
          <w:rFonts w:hint="eastAsia" w:ascii="宋体" w:hAnsi="宋体" w:cs="Times New Roman"/>
          <w:kern w:val="0"/>
          <w:sz w:val="24"/>
          <w:szCs w:val="24"/>
        </w:rPr>
        <w:t>引征信札、访谈、演讲、电影、电视、广播、录音、未刊稿等文献、资料等，在其后注明资料形成时间、地点或出品时间、出品机构等能显示其独立存在的特征。</w:t>
      </w:r>
    </w:p>
    <w:p>
      <w:pPr>
        <w:widowControl/>
        <w:shd w:val="clear" w:color="auto" w:fill="FFFFFF"/>
        <w:spacing w:beforeLines="50" w:afterLines="50"/>
        <w:ind w:left="379" w:hanging="379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8. </w:t>
      </w:r>
      <w:r>
        <w:rPr>
          <w:rFonts w:hint="eastAsia" w:ascii="宋体" w:hAnsi="宋体" w:cs="Times New Roman"/>
          <w:kern w:val="0"/>
          <w:sz w:val="24"/>
          <w:szCs w:val="24"/>
        </w:rPr>
        <w:t>不提倡引征作者自己的未刊稿，除非是即将出版或已经在一定范围内公开的。</w:t>
      </w:r>
    </w:p>
    <w:p>
      <w:pPr>
        <w:widowControl/>
        <w:shd w:val="clear" w:color="auto" w:fill="FFFFFF"/>
        <w:spacing w:beforeLines="50" w:afterLines="50"/>
        <w:ind w:left="379" w:hanging="379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9</w:t>
      </w:r>
      <w:r>
        <w:rPr>
          <w:rFonts w:hint="eastAsia" w:ascii="宋体" w:hAnsi="宋体" w:cs="Times New Roman"/>
          <w:kern w:val="0"/>
          <w:sz w:val="24"/>
          <w:szCs w:val="24"/>
        </w:rPr>
        <w:t>．引征网页应出自大型学术网站或新闻网站，由站方管理员添加设置的网页，应附有详细的可以直接确认定位到具体征引内容所在网页的</w:t>
      </w:r>
      <w:r>
        <w:rPr>
          <w:rFonts w:ascii="宋体" w:hAnsi="宋体" w:cs="Times New Roman"/>
          <w:kern w:val="0"/>
          <w:sz w:val="24"/>
          <w:szCs w:val="24"/>
        </w:rPr>
        <w:t>URL</w:t>
      </w:r>
      <w:r>
        <w:rPr>
          <w:rFonts w:hint="eastAsia" w:ascii="宋体" w:hAnsi="宋体" w:cs="Times New Roman"/>
          <w:kern w:val="0"/>
          <w:sz w:val="24"/>
          <w:szCs w:val="24"/>
        </w:rPr>
        <w:t>链接地址，并注明最后访问日期。不提倡从</w:t>
      </w:r>
      <w:r>
        <w:rPr>
          <w:rFonts w:ascii="宋体" w:hAnsi="宋体" w:cs="Times New Roman"/>
          <w:kern w:val="0"/>
          <w:sz w:val="24"/>
          <w:szCs w:val="24"/>
        </w:rPr>
        <w:t>BBS</w:t>
      </w:r>
      <w:r>
        <w:rPr>
          <w:rFonts w:hint="eastAsia" w:ascii="宋体" w:hAnsi="宋体" w:cs="Times New Roman"/>
          <w:kern w:val="0"/>
          <w:sz w:val="24"/>
          <w:szCs w:val="24"/>
        </w:rPr>
        <w:t>、</w:t>
      </w:r>
      <w:r>
        <w:rPr>
          <w:rFonts w:ascii="宋体" w:hAnsi="宋体" w:cs="Times New Roman"/>
          <w:kern w:val="0"/>
          <w:sz w:val="24"/>
          <w:szCs w:val="24"/>
        </w:rPr>
        <w:t>BLOG</w:t>
      </w:r>
      <w:r>
        <w:rPr>
          <w:rFonts w:hint="eastAsia" w:ascii="宋体" w:hAnsi="宋体" w:cs="Times New Roman"/>
          <w:kern w:val="0"/>
          <w:sz w:val="24"/>
          <w:szCs w:val="24"/>
        </w:rPr>
        <w:t>等普通用户可以任意删改的网页中引征。</w:t>
      </w:r>
    </w:p>
    <w:p>
      <w:pPr>
        <w:widowControl/>
        <w:shd w:val="clear" w:color="auto" w:fill="FFFFFF"/>
        <w:spacing w:beforeLines="50" w:afterLines="50"/>
        <w:ind w:left="379" w:hanging="379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10. </w:t>
      </w:r>
      <w:r>
        <w:rPr>
          <w:rFonts w:hint="eastAsia" w:ascii="宋体" w:hAnsi="宋体" w:cs="Times New Roman"/>
          <w:kern w:val="0"/>
          <w:sz w:val="24"/>
          <w:szCs w:val="24"/>
        </w:rPr>
        <w:t>英文以外作品的引征，从该文种的学术引征惯例，但须清楚可循。</w:t>
      </w:r>
    </w:p>
    <w:p>
      <w:pPr>
        <w:widowControl/>
        <w:shd w:val="clear" w:color="auto" w:fill="FFFFFF"/>
        <w:spacing w:beforeLines="50" w:afterLines="50"/>
        <w:ind w:left="379" w:hanging="379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11</w:t>
      </w:r>
      <w:r>
        <w:rPr>
          <w:rFonts w:hint="eastAsia" w:ascii="宋体" w:hAnsi="宋体" w:cs="Times New Roman"/>
          <w:kern w:val="0"/>
          <w:sz w:val="24"/>
          <w:szCs w:val="24"/>
        </w:rPr>
        <w:t>．引用中国古籍，请参照有关专业部门发布的通行规范。</w:t>
      </w:r>
    </w:p>
    <w:p>
      <w:pPr>
        <w:widowControl/>
        <w:shd w:val="clear" w:color="auto" w:fill="FFFFFF"/>
        <w:spacing w:beforeLines="50" w:afterLines="50"/>
        <w:ind w:left="379" w:hanging="379"/>
        <w:jc w:val="left"/>
        <w:rPr>
          <w:rFonts w:ascii="宋体" w:hAnsi="宋体" w:cs="Times New Roman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12</w:t>
      </w:r>
      <w:r>
        <w:rPr>
          <w:rFonts w:hint="eastAsia" w:ascii="宋体" w:hAnsi="宋体" w:cs="Times New Roman"/>
          <w:kern w:val="0"/>
          <w:sz w:val="24"/>
          <w:szCs w:val="24"/>
        </w:rPr>
        <w:t>．其他未尽事宜，参见中文核心期刊近期已刊登文章的处理办法。</w:t>
      </w:r>
    </w:p>
    <w:p>
      <w:pPr>
        <w:widowControl/>
        <w:shd w:val="clear" w:color="auto" w:fill="FFFFFF"/>
        <w:spacing w:beforeLines="50" w:afterLines="50"/>
        <w:ind w:left="379" w:hanging="379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hd w:val="clear" w:color="auto" w:fill="FFFFFF"/>
        <w:spacing w:beforeLines="50" w:afterLines="50"/>
        <w:jc w:val="center"/>
        <w:rPr>
          <w:rFonts w:ascii="宋体" w:hAnsi="宋体" w:cs="Times New Roman"/>
          <w:b/>
          <w:bCs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 </w:t>
      </w:r>
      <w:r>
        <w:rPr>
          <w:rFonts w:hint="eastAsia" w:ascii="宋体" w:hAnsi="宋体" w:cs="Times New Roman"/>
          <w:b/>
          <w:bCs/>
          <w:kern w:val="0"/>
          <w:sz w:val="24"/>
          <w:szCs w:val="24"/>
        </w:rPr>
        <w:t>二、引用例证</w:t>
      </w:r>
    </w:p>
    <w:p>
      <w:pPr>
        <w:widowControl/>
        <w:shd w:val="clear" w:color="auto" w:fill="FFFFFF"/>
        <w:spacing w:beforeLines="50" w:afterLines="50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hd w:val="clear" w:color="auto" w:fill="FFFFFF"/>
        <w:spacing w:beforeLines="50" w:afterLines="50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b/>
          <w:bCs/>
          <w:kern w:val="0"/>
          <w:sz w:val="24"/>
          <w:szCs w:val="24"/>
        </w:rPr>
        <w:t> </w:t>
      </w:r>
      <w:r>
        <w:rPr>
          <w:rFonts w:hint="eastAsia" w:ascii="宋体" w:hAnsi="宋体" w:cs="Times New Roman"/>
          <w:b/>
          <w:bCs/>
          <w:kern w:val="0"/>
          <w:sz w:val="24"/>
          <w:szCs w:val="24"/>
        </w:rPr>
        <w:t>中文</w:t>
      </w:r>
    </w:p>
    <w:p>
      <w:pPr>
        <w:widowControl/>
        <w:shd w:val="clear" w:color="auto" w:fill="FFFFFF"/>
        <w:spacing w:beforeLines="50" w:afterLines="50"/>
        <w:ind w:left="425" w:hanging="42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1.        </w:t>
      </w:r>
      <w:r>
        <w:rPr>
          <w:rFonts w:hint="eastAsia" w:ascii="宋体" w:hAnsi="宋体" w:cs="Times New Roman"/>
          <w:kern w:val="0"/>
          <w:sz w:val="24"/>
          <w:szCs w:val="24"/>
        </w:rPr>
        <w:t>著作</w:t>
      </w:r>
    </w:p>
    <w:p>
      <w:pPr>
        <w:widowControl/>
        <w:shd w:val="clear" w:color="auto" w:fill="FFFFFF"/>
        <w:spacing w:beforeLines="50" w:afterLines="50"/>
        <w:ind w:left="42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* </w:t>
      </w:r>
      <w:r>
        <w:rPr>
          <w:rFonts w:hint="eastAsia" w:ascii="宋体" w:hAnsi="宋体" w:cs="Times New Roman"/>
          <w:kern w:val="0"/>
          <w:sz w:val="24"/>
          <w:szCs w:val="24"/>
        </w:rPr>
        <w:t>朱慈蕴：《公司法人格否认法理研究》，法律出版社</w:t>
      </w:r>
      <w:r>
        <w:rPr>
          <w:rFonts w:ascii="宋体" w:hAnsi="宋体" w:cs="Times New Roman"/>
          <w:kern w:val="0"/>
          <w:sz w:val="24"/>
          <w:szCs w:val="24"/>
        </w:rPr>
        <w:t>1998</w:t>
      </w:r>
      <w:r>
        <w:rPr>
          <w:rFonts w:hint="eastAsia" w:ascii="宋体" w:hAnsi="宋体" w:cs="Times New Roman"/>
          <w:kern w:val="0"/>
          <w:sz w:val="24"/>
          <w:szCs w:val="24"/>
        </w:rPr>
        <w:t>年版，第</w:t>
      </w:r>
      <w:r>
        <w:rPr>
          <w:rFonts w:ascii="宋体" w:hAnsi="宋体" w:cs="Times New Roman"/>
          <w:kern w:val="0"/>
          <w:sz w:val="24"/>
          <w:szCs w:val="24"/>
        </w:rPr>
        <w:t>32</w:t>
      </w:r>
      <w:r>
        <w:rPr>
          <w:rFonts w:hint="eastAsia" w:ascii="宋体" w:hAnsi="宋体" w:cs="Times New Roman"/>
          <w:kern w:val="0"/>
          <w:sz w:val="24"/>
          <w:szCs w:val="24"/>
        </w:rPr>
        <w:t>页。</w:t>
      </w:r>
    </w:p>
    <w:p>
      <w:pPr>
        <w:widowControl/>
        <w:shd w:val="clear" w:color="auto" w:fill="FFFFFF"/>
        <w:spacing w:beforeLines="50" w:afterLines="50"/>
        <w:ind w:left="425" w:hanging="42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2.        </w:t>
      </w:r>
      <w:r>
        <w:rPr>
          <w:rFonts w:hint="eastAsia" w:ascii="宋体" w:hAnsi="宋体" w:cs="Times New Roman"/>
          <w:kern w:val="0"/>
          <w:sz w:val="24"/>
          <w:szCs w:val="24"/>
        </w:rPr>
        <w:t>译作</w:t>
      </w:r>
    </w:p>
    <w:p>
      <w:pPr>
        <w:widowControl/>
        <w:shd w:val="clear" w:color="auto" w:fill="FFFFFF"/>
        <w:spacing w:beforeLines="50" w:afterLines="50"/>
        <w:ind w:left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* </w:t>
      </w:r>
      <w:r>
        <w:rPr>
          <w:rFonts w:hint="eastAsia" w:ascii="宋体" w:hAnsi="宋体" w:cs="Times New Roman"/>
          <w:kern w:val="0"/>
          <w:sz w:val="24"/>
          <w:szCs w:val="24"/>
        </w:rPr>
        <w:t>孟德斯鸠：《论法的精神》</w:t>
      </w:r>
      <w:r>
        <w:rPr>
          <w:rFonts w:ascii="宋体" w:hAnsi="宋体" w:cs="Times New Roman"/>
          <w:kern w:val="0"/>
          <w:sz w:val="24"/>
          <w:szCs w:val="24"/>
        </w:rPr>
        <w:t>(</w:t>
      </w:r>
      <w:r>
        <w:rPr>
          <w:rFonts w:hint="eastAsia" w:ascii="宋体" w:hAnsi="宋体" w:cs="Times New Roman"/>
          <w:kern w:val="0"/>
          <w:sz w:val="24"/>
          <w:szCs w:val="24"/>
        </w:rPr>
        <w:t>下册</w:t>
      </w:r>
      <w:r>
        <w:rPr>
          <w:rFonts w:ascii="宋体" w:hAnsi="宋体" w:cs="Times New Roman"/>
          <w:kern w:val="0"/>
          <w:sz w:val="24"/>
          <w:szCs w:val="24"/>
        </w:rPr>
        <w:t>)</w:t>
      </w:r>
      <w:r>
        <w:rPr>
          <w:rFonts w:hint="eastAsia" w:ascii="宋体" w:hAnsi="宋体" w:cs="Times New Roman"/>
          <w:kern w:val="0"/>
          <w:sz w:val="24"/>
          <w:szCs w:val="24"/>
        </w:rPr>
        <w:t>，张雁深译，商务印书馆</w:t>
      </w:r>
      <w:r>
        <w:rPr>
          <w:rFonts w:ascii="宋体" w:hAnsi="宋体" w:cs="Times New Roman"/>
          <w:kern w:val="0"/>
          <w:sz w:val="24"/>
          <w:szCs w:val="24"/>
        </w:rPr>
        <w:t>1963</w:t>
      </w:r>
      <w:r>
        <w:rPr>
          <w:rFonts w:hint="eastAsia" w:ascii="宋体" w:hAnsi="宋体" w:cs="Times New Roman"/>
          <w:kern w:val="0"/>
          <w:sz w:val="24"/>
          <w:szCs w:val="24"/>
        </w:rPr>
        <w:t>年版，第</w:t>
      </w:r>
      <w:r>
        <w:rPr>
          <w:rFonts w:ascii="宋体" w:hAnsi="宋体" w:cs="Times New Roman"/>
          <w:kern w:val="0"/>
          <w:sz w:val="24"/>
          <w:szCs w:val="24"/>
        </w:rPr>
        <w:t>32</w:t>
      </w:r>
      <w:r>
        <w:rPr>
          <w:rFonts w:hint="eastAsia" w:ascii="宋体" w:hAnsi="宋体" w:cs="Times New Roman"/>
          <w:kern w:val="0"/>
          <w:sz w:val="24"/>
          <w:szCs w:val="24"/>
        </w:rPr>
        <w:t>页。</w:t>
      </w:r>
    </w:p>
    <w:p>
      <w:pPr>
        <w:widowControl/>
        <w:shd w:val="clear" w:color="auto" w:fill="FFFFFF"/>
        <w:spacing w:beforeLines="50" w:afterLines="50"/>
        <w:ind w:left="425" w:hanging="42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3.        </w:t>
      </w:r>
      <w:r>
        <w:rPr>
          <w:rFonts w:hint="eastAsia" w:ascii="宋体" w:hAnsi="宋体" w:cs="Times New Roman"/>
          <w:kern w:val="0"/>
          <w:sz w:val="24"/>
          <w:szCs w:val="24"/>
        </w:rPr>
        <w:t>编辑（主编）作品</w:t>
      </w:r>
    </w:p>
    <w:p>
      <w:pPr>
        <w:widowControl/>
        <w:shd w:val="clear" w:color="auto" w:fill="FFFFFF"/>
        <w:spacing w:beforeLines="50" w:afterLines="50"/>
        <w:ind w:left="660" w:hanging="24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* </w:t>
      </w:r>
      <w:r>
        <w:rPr>
          <w:rFonts w:hint="eastAsia" w:ascii="宋体" w:hAnsi="宋体" w:cs="Times New Roman"/>
          <w:kern w:val="0"/>
          <w:sz w:val="24"/>
          <w:szCs w:val="24"/>
        </w:rPr>
        <w:t>朱景文主编：《对西方法律传统的挑战</w:t>
      </w:r>
      <w:r>
        <w:rPr>
          <w:rFonts w:ascii="宋体" w:hAnsi="宋体" w:cs="Times New Roman"/>
          <w:kern w:val="0"/>
          <w:sz w:val="24"/>
          <w:szCs w:val="24"/>
        </w:rPr>
        <w:t>——</w:t>
      </w:r>
      <w:r>
        <w:rPr>
          <w:rFonts w:hint="eastAsia" w:ascii="宋体" w:hAnsi="宋体" w:cs="Times New Roman"/>
          <w:kern w:val="0"/>
          <w:sz w:val="24"/>
          <w:szCs w:val="24"/>
        </w:rPr>
        <w:t>美国批判法律研究运动》，中国检察出版社</w:t>
      </w:r>
      <w:r>
        <w:rPr>
          <w:rFonts w:ascii="宋体" w:hAnsi="宋体" w:cs="Times New Roman"/>
          <w:kern w:val="0"/>
          <w:sz w:val="24"/>
          <w:szCs w:val="24"/>
        </w:rPr>
        <w:t>1996</w:t>
      </w:r>
      <w:r>
        <w:rPr>
          <w:rFonts w:hint="eastAsia" w:ascii="宋体" w:hAnsi="宋体" w:cs="Times New Roman"/>
          <w:kern w:val="0"/>
          <w:sz w:val="24"/>
          <w:szCs w:val="24"/>
        </w:rPr>
        <w:t>年版，第</w:t>
      </w:r>
      <w:r>
        <w:rPr>
          <w:rFonts w:ascii="宋体" w:hAnsi="宋体" w:cs="Times New Roman"/>
          <w:kern w:val="0"/>
          <w:sz w:val="24"/>
          <w:szCs w:val="24"/>
        </w:rPr>
        <w:t>32</w:t>
      </w:r>
      <w:r>
        <w:rPr>
          <w:rFonts w:hint="eastAsia" w:ascii="宋体" w:hAnsi="宋体" w:cs="Times New Roman"/>
          <w:kern w:val="0"/>
          <w:sz w:val="24"/>
          <w:szCs w:val="24"/>
        </w:rPr>
        <w:t>页。</w:t>
      </w:r>
    </w:p>
    <w:p>
      <w:pPr>
        <w:widowControl/>
        <w:shd w:val="clear" w:color="auto" w:fill="FFFFFF"/>
        <w:spacing w:beforeLines="50" w:afterLines="50"/>
        <w:ind w:left="425" w:hanging="42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4.        </w:t>
      </w:r>
      <w:r>
        <w:rPr>
          <w:rFonts w:hint="eastAsia" w:ascii="宋体" w:hAnsi="宋体" w:cs="Times New Roman"/>
          <w:kern w:val="0"/>
          <w:sz w:val="24"/>
          <w:szCs w:val="24"/>
        </w:rPr>
        <w:t>杂志</w:t>
      </w:r>
      <w:r>
        <w:rPr>
          <w:rFonts w:ascii="宋体" w:hAnsi="宋体" w:cs="Times New Roman"/>
          <w:kern w:val="0"/>
          <w:sz w:val="24"/>
          <w:szCs w:val="24"/>
        </w:rPr>
        <w:t>/</w:t>
      </w:r>
      <w:r>
        <w:rPr>
          <w:rFonts w:hint="eastAsia" w:ascii="宋体" w:hAnsi="宋体" w:cs="Times New Roman"/>
          <w:kern w:val="0"/>
          <w:sz w:val="24"/>
          <w:szCs w:val="24"/>
        </w:rPr>
        <w:t>报刊</w:t>
      </w:r>
    </w:p>
    <w:p>
      <w:pPr>
        <w:widowControl/>
        <w:shd w:val="clear" w:color="auto" w:fill="FFFFFF"/>
        <w:spacing w:beforeLines="50" w:afterLines="50"/>
        <w:ind w:left="660" w:hanging="24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* </w:t>
      </w:r>
      <w:r>
        <w:rPr>
          <w:rFonts w:hint="eastAsia" w:ascii="宋体" w:hAnsi="宋体" w:cs="Times New Roman"/>
          <w:kern w:val="0"/>
          <w:sz w:val="24"/>
          <w:szCs w:val="24"/>
        </w:rPr>
        <w:t>张维迎、柯荣住：“诉讼过程中的逆向选择及其解释──以契约纠纷的基层法院判决书为例的经验研究”，载《中国社会科学》</w:t>
      </w:r>
      <w:r>
        <w:rPr>
          <w:rFonts w:ascii="宋体" w:hAnsi="宋体" w:cs="Times New Roman"/>
          <w:kern w:val="0"/>
          <w:sz w:val="24"/>
          <w:szCs w:val="24"/>
        </w:rPr>
        <w:t>2002</w:t>
      </w:r>
      <w:r>
        <w:rPr>
          <w:rFonts w:hint="eastAsia" w:ascii="宋体" w:hAnsi="宋体" w:cs="Times New Roman"/>
          <w:kern w:val="0"/>
          <w:sz w:val="24"/>
          <w:szCs w:val="24"/>
        </w:rPr>
        <w:t>年第</w:t>
      </w:r>
      <w:r>
        <w:rPr>
          <w:rFonts w:ascii="宋体" w:hAnsi="宋体" w:cs="Times New Roman"/>
          <w:kern w:val="0"/>
          <w:sz w:val="24"/>
          <w:szCs w:val="24"/>
        </w:rPr>
        <w:t>2</w:t>
      </w:r>
      <w:r>
        <w:rPr>
          <w:rFonts w:hint="eastAsia" w:ascii="宋体" w:hAnsi="宋体" w:cs="Times New Roman"/>
          <w:kern w:val="0"/>
          <w:sz w:val="24"/>
          <w:szCs w:val="24"/>
        </w:rPr>
        <w:t>期。</w:t>
      </w:r>
    </w:p>
    <w:p>
      <w:pPr>
        <w:widowControl/>
        <w:shd w:val="clear" w:color="auto" w:fill="FFFFFF"/>
        <w:spacing w:beforeLines="50" w:afterLines="50"/>
        <w:ind w:left="660" w:hanging="24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* </w:t>
      </w:r>
      <w:r>
        <w:rPr>
          <w:rFonts w:hint="eastAsia" w:ascii="宋体" w:hAnsi="宋体" w:cs="Times New Roman"/>
          <w:kern w:val="0"/>
          <w:sz w:val="24"/>
          <w:szCs w:val="24"/>
        </w:rPr>
        <w:t>刘晓林：</w:t>
      </w:r>
      <w:r>
        <w:rPr>
          <w:rFonts w:ascii="宋体" w:hAnsi="宋体" w:cs="Times New Roman"/>
          <w:kern w:val="0"/>
          <w:sz w:val="24"/>
          <w:szCs w:val="24"/>
        </w:rPr>
        <w:t>“</w:t>
      </w:r>
      <w:r>
        <w:rPr>
          <w:rFonts w:hint="eastAsia" w:ascii="宋体" w:hAnsi="宋体" w:cs="Times New Roman"/>
          <w:kern w:val="0"/>
          <w:sz w:val="24"/>
          <w:szCs w:val="24"/>
        </w:rPr>
        <w:t>行政许可法带给我们什么</w:t>
      </w:r>
      <w:r>
        <w:rPr>
          <w:rFonts w:ascii="宋体" w:hAnsi="宋体" w:cs="Times New Roman"/>
          <w:kern w:val="0"/>
          <w:sz w:val="24"/>
          <w:szCs w:val="24"/>
        </w:rPr>
        <w:t>”</w:t>
      </w:r>
      <w:r>
        <w:rPr>
          <w:rFonts w:hint="eastAsia" w:ascii="宋体" w:hAnsi="宋体" w:cs="Times New Roman"/>
          <w:kern w:val="0"/>
          <w:sz w:val="24"/>
          <w:szCs w:val="24"/>
        </w:rPr>
        <w:t>，《人民日报》（海外版）</w:t>
      </w:r>
      <w:r>
        <w:rPr>
          <w:rFonts w:ascii="宋体" w:hAnsi="宋体" w:cs="Times New Roman"/>
          <w:kern w:val="0"/>
          <w:sz w:val="24"/>
          <w:szCs w:val="24"/>
        </w:rPr>
        <w:t>2003</w:t>
      </w:r>
      <w:r>
        <w:rPr>
          <w:rFonts w:hint="eastAsia" w:ascii="宋体" w:hAnsi="宋体" w:cs="Times New Roman"/>
          <w:kern w:val="0"/>
          <w:sz w:val="24"/>
          <w:szCs w:val="24"/>
        </w:rPr>
        <w:t>年</w:t>
      </w:r>
      <w:r>
        <w:rPr>
          <w:rFonts w:ascii="宋体" w:hAnsi="宋体" w:cs="Times New Roman"/>
          <w:kern w:val="0"/>
          <w:sz w:val="24"/>
          <w:szCs w:val="24"/>
        </w:rPr>
        <w:t>9</w:t>
      </w:r>
      <w:r>
        <w:rPr>
          <w:rFonts w:hint="eastAsia" w:ascii="宋体" w:hAnsi="宋体" w:cs="Times New Roman"/>
          <w:kern w:val="0"/>
          <w:sz w:val="24"/>
          <w:szCs w:val="24"/>
        </w:rPr>
        <w:t>月</w:t>
      </w:r>
      <w:r>
        <w:rPr>
          <w:rFonts w:ascii="宋体" w:hAnsi="宋体" w:cs="Times New Roman"/>
          <w:kern w:val="0"/>
          <w:sz w:val="24"/>
          <w:szCs w:val="24"/>
        </w:rPr>
        <w:t>6</w:t>
      </w:r>
      <w:r>
        <w:rPr>
          <w:rFonts w:hint="eastAsia" w:ascii="宋体" w:hAnsi="宋体" w:cs="Times New Roman"/>
          <w:kern w:val="0"/>
          <w:sz w:val="24"/>
          <w:szCs w:val="24"/>
        </w:rPr>
        <w:t>日第</w:t>
      </w:r>
      <w:r>
        <w:rPr>
          <w:rFonts w:ascii="宋体" w:hAnsi="宋体" w:cs="Times New Roman"/>
          <w:kern w:val="0"/>
          <w:sz w:val="24"/>
          <w:szCs w:val="24"/>
        </w:rPr>
        <w:t>H</w:t>
      </w:r>
      <w:r>
        <w:rPr>
          <w:rFonts w:hint="eastAsia" w:ascii="宋体" w:hAnsi="宋体" w:cs="Times New Roman"/>
          <w:kern w:val="0"/>
          <w:sz w:val="24"/>
          <w:szCs w:val="24"/>
        </w:rPr>
        <w:t>版。</w:t>
      </w:r>
    </w:p>
    <w:p>
      <w:pPr>
        <w:widowControl/>
        <w:shd w:val="clear" w:color="auto" w:fill="FFFFFF"/>
        <w:spacing w:beforeLines="50" w:afterLines="50"/>
        <w:ind w:left="425" w:hanging="42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</w:rPr>
        <w:t>5.</w:t>
      </w:r>
      <w:r>
        <w:rPr>
          <w:rFonts w:ascii="宋体" w:hAnsi="宋体" w:cs="Times New Roman"/>
          <w:kern w:val="0"/>
          <w:sz w:val="24"/>
          <w:szCs w:val="24"/>
        </w:rPr>
        <w:t>     </w:t>
      </w:r>
      <w:r>
        <w:rPr>
          <w:rFonts w:hint="eastAsia" w:ascii="宋体" w:hAnsi="宋体" w:cs="Times New Roman"/>
          <w:kern w:val="0"/>
          <w:sz w:val="24"/>
          <w:szCs w:val="24"/>
        </w:rPr>
        <w:t>著作中的文章</w:t>
      </w:r>
    </w:p>
    <w:p>
      <w:pPr>
        <w:widowControl/>
        <w:shd w:val="clear" w:color="auto" w:fill="FFFFFF"/>
        <w:spacing w:beforeLines="50" w:afterLines="5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</w:rPr>
        <w:t>    </w:t>
      </w:r>
      <w:r>
        <w:rPr>
          <w:rFonts w:ascii="宋体" w:hAnsi="宋体" w:cs="Times New Roman"/>
          <w:kern w:val="0"/>
          <w:sz w:val="24"/>
          <w:szCs w:val="24"/>
        </w:rPr>
        <w:t>* </w:t>
      </w:r>
      <w:r>
        <w:rPr>
          <w:rFonts w:hint="eastAsia" w:ascii="宋体" w:hAnsi="宋体" w:cs="Times New Roman"/>
          <w:kern w:val="0"/>
          <w:sz w:val="24"/>
          <w:szCs w:val="24"/>
        </w:rPr>
        <w:t> 宋格文：“天人之间：汉代的契约与国家”，李明德译，载高道蕴等主编：</w:t>
      </w:r>
    </w:p>
    <w:p>
      <w:pPr>
        <w:widowControl/>
        <w:shd w:val="clear" w:color="auto" w:fill="FFFFFF"/>
        <w:spacing w:beforeLines="50" w:afterLines="5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</w:rPr>
        <w:t>   《美国学者论中国法律传统》，中国政法大学出版社</w:t>
      </w:r>
      <w:r>
        <w:rPr>
          <w:rFonts w:ascii="宋体" w:hAnsi="宋体" w:cs="Times New Roman"/>
          <w:kern w:val="0"/>
          <w:sz w:val="24"/>
          <w:szCs w:val="24"/>
        </w:rPr>
        <w:t>1994</w:t>
      </w:r>
      <w:r>
        <w:rPr>
          <w:rFonts w:hint="eastAsia" w:ascii="宋体" w:hAnsi="宋体" w:cs="Times New Roman"/>
          <w:kern w:val="0"/>
          <w:sz w:val="24"/>
          <w:szCs w:val="24"/>
        </w:rPr>
        <w:t>年版，第</w:t>
      </w:r>
      <w:r>
        <w:rPr>
          <w:rFonts w:ascii="宋体" w:hAnsi="宋体" w:cs="Times New Roman"/>
          <w:kern w:val="0"/>
          <w:sz w:val="24"/>
          <w:szCs w:val="24"/>
        </w:rPr>
        <w:t>32</w:t>
      </w:r>
      <w:r>
        <w:rPr>
          <w:rFonts w:hint="eastAsia" w:ascii="宋体" w:hAnsi="宋体" w:cs="Times New Roman"/>
          <w:kern w:val="0"/>
          <w:sz w:val="24"/>
          <w:szCs w:val="24"/>
        </w:rPr>
        <w:t>页。</w:t>
      </w:r>
    </w:p>
    <w:p>
      <w:pPr>
        <w:widowControl/>
        <w:shd w:val="clear" w:color="auto" w:fill="FFFFFF"/>
        <w:spacing w:beforeLines="50" w:afterLines="50"/>
        <w:ind w:left="425" w:hanging="42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</w:rPr>
        <w:t>6.</w:t>
      </w:r>
      <w:r>
        <w:rPr>
          <w:rFonts w:ascii="宋体" w:hAnsi="宋体" w:cs="Times New Roman"/>
          <w:kern w:val="0"/>
          <w:sz w:val="24"/>
          <w:szCs w:val="24"/>
        </w:rPr>
        <w:t>     </w:t>
      </w:r>
      <w:r>
        <w:rPr>
          <w:rFonts w:hint="eastAsia" w:ascii="宋体" w:hAnsi="宋体" w:cs="Times New Roman"/>
          <w:kern w:val="0"/>
          <w:sz w:val="24"/>
          <w:szCs w:val="24"/>
        </w:rPr>
        <w:t>网上文献资料引征</w:t>
      </w:r>
    </w:p>
    <w:p>
      <w:pPr>
        <w:widowControl/>
        <w:shd w:val="clear" w:color="auto" w:fill="FFFFFF"/>
        <w:spacing w:beforeLines="50" w:afterLines="50"/>
        <w:ind w:left="556" w:hanging="1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* </w:t>
      </w:r>
      <w:r>
        <w:rPr>
          <w:rFonts w:hint="eastAsia" w:ascii="宋体" w:hAnsi="宋体" w:cs="Times New Roman"/>
          <w:kern w:val="0"/>
          <w:sz w:val="24"/>
          <w:szCs w:val="24"/>
        </w:rPr>
        <w:t>梁戈：</w:t>
      </w:r>
      <w:r>
        <w:rPr>
          <w:rFonts w:ascii="宋体" w:hAnsi="宋体" w:cs="Times New Roman"/>
          <w:kern w:val="0"/>
          <w:sz w:val="24"/>
          <w:szCs w:val="24"/>
        </w:rPr>
        <w:t>“</w:t>
      </w:r>
      <w:r>
        <w:rPr>
          <w:rFonts w:hint="eastAsia" w:ascii="宋体" w:hAnsi="宋体" w:cs="Times New Roman"/>
          <w:kern w:val="0"/>
          <w:sz w:val="24"/>
          <w:szCs w:val="24"/>
        </w:rPr>
        <w:t>评美国高教独立性存在与发展的历史条件</w:t>
      </w:r>
      <w:r>
        <w:rPr>
          <w:rFonts w:ascii="宋体" w:hAnsi="宋体" w:cs="Times New Roman"/>
          <w:kern w:val="0"/>
          <w:sz w:val="24"/>
          <w:szCs w:val="24"/>
        </w:rPr>
        <w:t>”</w:t>
      </w:r>
      <w:r>
        <w:rPr>
          <w:rFonts w:hint="eastAsia" w:ascii="宋体" w:hAnsi="宋体" w:cs="Times New Roman"/>
          <w:kern w:val="0"/>
          <w:sz w:val="24"/>
          <w:szCs w:val="24"/>
        </w:rPr>
        <w:t>，</w:t>
      </w:r>
      <w:r>
        <w:rPr>
          <w:rFonts w:ascii="宋体" w:hAnsi="宋体" w:cs="Times New Roman"/>
          <w:kern w:val="0"/>
          <w:sz w:val="24"/>
          <w:szCs w:val="24"/>
        </w:rPr>
        <w:t> </w:t>
      </w:r>
      <w:r>
        <w:fldChar w:fldCharType="begin"/>
      </w:r>
      <w:r>
        <w:instrText xml:space="preserve">HYPERLINK "http://www.edu.cn/20020318/3022829.shtml" </w:instrText>
      </w:r>
      <w:r>
        <w:fldChar w:fldCharType="separate"/>
      </w:r>
      <w:r>
        <w:rPr>
          <w:rFonts w:ascii="宋体" w:hAnsi="宋体" w:cs="Times New Roman"/>
          <w:kern w:val="0"/>
          <w:sz w:val="24"/>
          <w:szCs w:val="24"/>
        </w:rPr>
        <w:t>http://www.edu.cn/20020318/3022829.shtml</w:t>
      </w:r>
      <w:r>
        <w:fldChar w:fldCharType="end"/>
      </w:r>
      <w:r>
        <w:rPr>
          <w:rFonts w:hint="eastAsia" w:ascii="宋体" w:hAnsi="宋体" w:cs="Times New Roman"/>
          <w:kern w:val="0"/>
          <w:sz w:val="24"/>
          <w:szCs w:val="24"/>
        </w:rPr>
        <w:t>，最后访问日期</w:t>
      </w:r>
      <w:r>
        <w:rPr>
          <w:rFonts w:ascii="宋体" w:hAnsi="宋体" w:cs="Times New Roman"/>
          <w:kern w:val="0"/>
          <w:sz w:val="24"/>
          <w:szCs w:val="24"/>
        </w:rPr>
        <w:t>2008</w:t>
      </w:r>
      <w:r>
        <w:rPr>
          <w:rFonts w:hint="eastAsia" w:ascii="宋体" w:hAnsi="宋体" w:cs="Times New Roman"/>
          <w:kern w:val="0"/>
          <w:sz w:val="24"/>
          <w:szCs w:val="24"/>
        </w:rPr>
        <w:t>年</w:t>
      </w:r>
      <w:r>
        <w:rPr>
          <w:rFonts w:ascii="宋体" w:hAnsi="宋体" w:cs="Times New Roman"/>
          <w:kern w:val="0"/>
          <w:sz w:val="24"/>
          <w:szCs w:val="24"/>
        </w:rPr>
        <w:t>8</w:t>
      </w:r>
      <w:r>
        <w:rPr>
          <w:rFonts w:hint="eastAsia" w:ascii="宋体" w:hAnsi="宋体" w:cs="Times New Roman"/>
          <w:kern w:val="0"/>
          <w:sz w:val="24"/>
          <w:szCs w:val="24"/>
        </w:rPr>
        <w:t>月</w:t>
      </w:r>
      <w:r>
        <w:rPr>
          <w:rFonts w:ascii="宋体" w:hAnsi="宋体" w:cs="Times New Roman"/>
          <w:kern w:val="0"/>
          <w:sz w:val="24"/>
          <w:szCs w:val="24"/>
        </w:rPr>
        <w:t>1</w:t>
      </w:r>
      <w:r>
        <w:rPr>
          <w:rFonts w:hint="eastAsia" w:ascii="宋体" w:hAnsi="宋体" w:cs="Times New Roman"/>
          <w:kern w:val="0"/>
          <w:sz w:val="24"/>
          <w:szCs w:val="24"/>
        </w:rPr>
        <w:t>日。</w:t>
      </w:r>
    </w:p>
    <w:p>
      <w:pPr>
        <w:widowControl/>
        <w:shd w:val="clear" w:color="auto" w:fill="FFFFFF"/>
        <w:spacing w:beforeLines="50" w:afterLines="5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7</w:t>
      </w:r>
      <w:r>
        <w:rPr>
          <w:rFonts w:hint="eastAsia" w:ascii="宋体" w:hAnsi="宋体" w:cs="Times New Roman"/>
          <w:kern w:val="0"/>
          <w:sz w:val="24"/>
          <w:szCs w:val="24"/>
        </w:rPr>
        <w:t>．古籍</w:t>
      </w:r>
    </w:p>
    <w:p>
      <w:pPr>
        <w:widowControl/>
        <w:shd w:val="clear" w:color="auto" w:fill="FFFFFF"/>
        <w:spacing w:beforeLines="50" w:afterLines="50"/>
        <w:ind w:left="559" w:hanging="559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   * </w:t>
      </w:r>
      <w:r>
        <w:rPr>
          <w:rFonts w:hint="eastAsia" w:ascii="宋体" w:hAnsi="宋体" w:cs="Times New Roman"/>
          <w:kern w:val="0"/>
          <w:sz w:val="24"/>
          <w:szCs w:val="24"/>
        </w:rPr>
        <w:t>（清）汪辉祖：《学治臆说》，卷下，清同治十年慎间堂刻汪龙庄先生遗书本，第</w:t>
      </w:r>
      <w:r>
        <w:rPr>
          <w:rFonts w:ascii="宋体" w:hAnsi="宋体" w:cs="Times New Roman"/>
          <w:kern w:val="0"/>
          <w:sz w:val="24"/>
          <w:szCs w:val="24"/>
        </w:rPr>
        <w:t>4</w:t>
      </w:r>
      <w:r>
        <w:rPr>
          <w:rFonts w:hint="eastAsia" w:ascii="宋体" w:hAnsi="宋体" w:cs="Times New Roman"/>
          <w:kern w:val="0"/>
          <w:sz w:val="24"/>
          <w:szCs w:val="24"/>
        </w:rPr>
        <w:t>页</w:t>
      </w:r>
      <w:r>
        <w:rPr>
          <w:rFonts w:ascii="宋体" w:hAnsi="宋体" w:cs="Times New Roman"/>
          <w:kern w:val="0"/>
          <w:sz w:val="24"/>
          <w:szCs w:val="24"/>
        </w:rPr>
        <w:t>b</w:t>
      </w:r>
      <w:r>
        <w:rPr>
          <w:rFonts w:hint="eastAsia" w:ascii="宋体" w:hAnsi="宋体" w:cs="Times New Roman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beforeLines="50" w:afterLines="50"/>
        <w:ind w:left="559" w:hanging="559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   * </w:t>
      </w:r>
      <w:r>
        <w:rPr>
          <w:rFonts w:hint="eastAsia" w:ascii="宋体" w:hAnsi="宋体" w:cs="Times New Roman"/>
          <w:kern w:val="0"/>
          <w:sz w:val="24"/>
          <w:szCs w:val="24"/>
        </w:rPr>
        <w:t>（清）薛允升：《读例存疑》（重刊本），黄静嘉编校，台湾成文出版社</w:t>
      </w:r>
      <w:r>
        <w:rPr>
          <w:rFonts w:ascii="宋体" w:hAnsi="宋体" w:cs="Times New Roman"/>
          <w:kern w:val="0"/>
          <w:sz w:val="24"/>
          <w:szCs w:val="24"/>
        </w:rPr>
        <w:t>1970</w:t>
      </w:r>
      <w:r>
        <w:rPr>
          <w:rFonts w:hint="eastAsia" w:ascii="宋体" w:hAnsi="宋体" w:cs="Times New Roman"/>
          <w:kern w:val="0"/>
          <w:sz w:val="24"/>
          <w:szCs w:val="24"/>
        </w:rPr>
        <w:t>年版，第</w:t>
      </w:r>
      <w:r>
        <w:rPr>
          <w:rFonts w:ascii="宋体" w:hAnsi="宋体" w:cs="Times New Roman"/>
          <w:kern w:val="0"/>
          <w:sz w:val="24"/>
          <w:szCs w:val="24"/>
        </w:rPr>
        <w:t>858</w:t>
      </w:r>
      <w:r>
        <w:rPr>
          <w:rFonts w:hint="eastAsia" w:ascii="宋体" w:hAnsi="宋体" w:cs="Times New Roman"/>
          <w:kern w:val="0"/>
          <w:sz w:val="24"/>
          <w:szCs w:val="24"/>
        </w:rPr>
        <w:t>页。</w:t>
      </w:r>
    </w:p>
    <w:p>
      <w:pPr>
        <w:widowControl/>
        <w:shd w:val="clear" w:color="auto" w:fill="FFFFFF"/>
        <w:spacing w:beforeLines="50" w:afterLines="50"/>
        <w:ind w:left="559" w:hanging="559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8</w:t>
      </w:r>
      <w:r>
        <w:rPr>
          <w:rFonts w:hint="eastAsia" w:ascii="宋体" w:hAnsi="宋体" w:cs="Times New Roman"/>
          <w:kern w:val="0"/>
          <w:sz w:val="24"/>
          <w:szCs w:val="24"/>
        </w:rPr>
        <w:t>．档案文献</w:t>
      </w:r>
    </w:p>
    <w:p>
      <w:pPr>
        <w:widowControl/>
        <w:shd w:val="clear" w:color="auto" w:fill="FFFFFF"/>
        <w:spacing w:beforeLines="50" w:afterLines="50"/>
        <w:ind w:left="559" w:hanging="559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   * </w:t>
      </w:r>
      <w:r>
        <w:rPr>
          <w:rFonts w:hint="eastAsia" w:ascii="宋体" w:hAnsi="宋体" w:cs="Times New Roman"/>
          <w:kern w:val="0"/>
          <w:sz w:val="24"/>
          <w:szCs w:val="24"/>
        </w:rPr>
        <w:t>“沈宗富诉状”，嘉庆二十二年十二月二十日，巴县档案</w:t>
      </w:r>
      <w:r>
        <w:rPr>
          <w:rFonts w:ascii="宋体" w:hAnsi="宋体" w:cs="Times New Roman"/>
          <w:kern w:val="0"/>
          <w:sz w:val="24"/>
          <w:szCs w:val="24"/>
        </w:rPr>
        <w:t>6-2-5505</w:t>
      </w:r>
      <w:r>
        <w:rPr>
          <w:rFonts w:hint="eastAsia" w:ascii="宋体" w:hAnsi="宋体" w:cs="Times New Roman"/>
          <w:kern w:val="0"/>
          <w:sz w:val="24"/>
          <w:szCs w:val="24"/>
        </w:rPr>
        <w:t>，四川省档案馆藏。</w:t>
      </w:r>
    </w:p>
    <w:p>
      <w:pPr>
        <w:widowControl/>
        <w:shd w:val="clear" w:color="auto" w:fill="FFFFFF"/>
        <w:spacing w:beforeLines="50" w:afterLines="5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</w:rPr>
        <w:t>9. 注释中重复引用文献、资料时，若为注释中次第紧连援用同一文献的情形，使用“同上注，第</w:t>
      </w:r>
      <w:r>
        <w:rPr>
          <w:rFonts w:ascii="宋体" w:hAnsi="宋体" w:cs="Times New Roman"/>
          <w:kern w:val="0"/>
          <w:sz w:val="24"/>
          <w:szCs w:val="24"/>
        </w:rPr>
        <w:t>2</w:t>
      </w:r>
      <w:r>
        <w:rPr>
          <w:rFonts w:hint="eastAsia" w:ascii="宋体" w:hAnsi="宋体" w:cs="Times New Roman"/>
          <w:kern w:val="0"/>
          <w:sz w:val="24"/>
          <w:szCs w:val="24"/>
        </w:rPr>
        <w:t>页”、“</w:t>
      </w:r>
      <w:r>
        <w:rPr>
          <w:rFonts w:ascii="宋体" w:hAnsi="宋体" w:cs="Times New Roman"/>
          <w:kern w:val="0"/>
          <w:sz w:val="24"/>
          <w:szCs w:val="24"/>
        </w:rPr>
        <w:t>Id.</w:t>
      </w:r>
      <w:r>
        <w:rPr>
          <w:rFonts w:hint="eastAsia" w:ascii="宋体" w:hAnsi="宋体" w:cs="Times New Roman"/>
          <w:kern w:val="0"/>
          <w:sz w:val="24"/>
          <w:szCs w:val="24"/>
        </w:rPr>
        <w:t>，</w:t>
      </w:r>
      <w:r>
        <w:rPr>
          <w:rFonts w:ascii="宋体" w:hAnsi="宋体" w:cs="Times New Roman"/>
          <w:kern w:val="0"/>
          <w:sz w:val="24"/>
          <w:szCs w:val="24"/>
        </w:rPr>
        <w:t>p 2</w:t>
      </w:r>
      <w:r>
        <w:rPr>
          <w:rFonts w:hint="eastAsia" w:ascii="宋体" w:hAnsi="宋体" w:cs="Times New Roman"/>
          <w:kern w:val="0"/>
          <w:sz w:val="24"/>
          <w:szCs w:val="24"/>
        </w:rPr>
        <w:t>”等。</w:t>
      </w:r>
    </w:p>
    <w:p>
      <w:pPr>
        <w:widowControl/>
        <w:shd w:val="clear" w:color="auto" w:fill="FFFFFF"/>
        <w:spacing w:beforeLines="50" w:afterLines="50"/>
        <w:ind w:firstLine="360" w:firstLineChars="150"/>
        <w:jc w:val="left"/>
        <w:rPr>
          <w:rFonts w:ascii="宋体" w:hAnsi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</w:rPr>
        <w:t>若为非次第紧连、但在同页出现的文献，可将文献的版次、出处等简略，仅使用“同前注×”、“</w:t>
      </w:r>
      <w:r>
        <w:rPr>
          <w:rFonts w:ascii="宋体" w:hAnsi="宋体" w:cs="Times New Roman"/>
          <w:kern w:val="0"/>
          <w:sz w:val="24"/>
          <w:szCs w:val="24"/>
        </w:rPr>
        <w:t>supra note</w:t>
      </w:r>
      <w:r>
        <w:rPr>
          <w:rFonts w:hint="eastAsia" w:ascii="宋体" w:hAnsi="宋体" w:cs="Times New Roman"/>
          <w:kern w:val="0"/>
          <w:sz w:val="24"/>
          <w:szCs w:val="24"/>
        </w:rPr>
        <w:t>”，但须注明引用文献的名称和作者，以便于识别。如“苏力：《送法下乡》，同前注</w:t>
      </w:r>
      <w:r>
        <w:rPr>
          <w:rFonts w:ascii="宋体" w:hAnsi="宋体" w:cs="Times New Roman"/>
          <w:kern w:val="0"/>
          <w:sz w:val="24"/>
          <w:szCs w:val="24"/>
        </w:rPr>
        <w:t>16</w:t>
      </w:r>
      <w:r>
        <w:rPr>
          <w:rFonts w:hint="eastAsia" w:ascii="宋体" w:hAnsi="宋体" w:cs="Times New Roman"/>
          <w:kern w:val="0"/>
          <w:sz w:val="24"/>
          <w:szCs w:val="24"/>
        </w:rPr>
        <w:t>”。</w:t>
      </w:r>
    </w:p>
    <w:p>
      <w:pPr>
        <w:widowControl/>
        <w:shd w:val="clear" w:color="auto" w:fill="FFFFFF"/>
        <w:spacing w:beforeLines="50" w:afterLines="50"/>
        <w:ind w:firstLine="360" w:firstLineChars="15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hd w:val="clear" w:color="auto" w:fill="FFFFFF"/>
        <w:spacing w:beforeLines="50" w:afterLines="50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Times New Roman"/>
          <w:b/>
          <w:bCs/>
          <w:kern w:val="0"/>
          <w:sz w:val="24"/>
          <w:szCs w:val="24"/>
        </w:rPr>
        <w:t>英文</w:t>
      </w:r>
    </w:p>
    <w:p>
      <w:pPr>
        <w:widowControl/>
        <w:shd w:val="clear" w:color="auto" w:fill="FFFFFF"/>
        <w:spacing w:beforeLines="50" w:afterLines="50"/>
        <w:ind w:left="379" w:hanging="379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hAnsi="宋体" w:cs="Times New Roman"/>
          <w:kern w:val="0"/>
          <w:sz w:val="24"/>
          <w:szCs w:val="24"/>
        </w:rPr>
        <w:t>1．英文期刊文章</w:t>
      </w:r>
      <w:r>
        <w:rPr>
          <w:rFonts w:ascii="Times New Roman" w:hAnsi="Times New Roman" w:cs="Times New Roman"/>
          <w:kern w:val="0"/>
          <w:sz w:val="24"/>
          <w:szCs w:val="24"/>
        </w:rPr>
        <w:t> consecutively paginated journals</w:t>
      </w:r>
    </w:p>
    <w:p>
      <w:pPr>
        <w:widowControl/>
        <w:shd w:val="clear" w:color="auto" w:fill="FFFFFF"/>
        <w:spacing w:beforeLines="50" w:afterLines="50"/>
        <w:ind w:left="376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*  Frank K. Upham, “Who Will Find the Defendant if He Stays with His Sheep? Justice in Rural China”, 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Yale Law Journal</w:t>
      </w:r>
      <w:r>
        <w:rPr>
          <w:rFonts w:ascii="Times New Roman" w:hAnsi="Times New Roman" w:cs="Times New Roman"/>
          <w:kern w:val="0"/>
          <w:sz w:val="24"/>
          <w:szCs w:val="24"/>
        </w:rPr>
        <w:t>, Vol.114:1675 (2005).</w:t>
      </w:r>
    </w:p>
    <w:p>
      <w:pPr>
        <w:widowControl/>
        <w:shd w:val="clear" w:color="auto" w:fill="FFFFFF"/>
        <w:spacing w:beforeLines="50" w:afterLines="50"/>
        <w:ind w:left="379" w:hanging="379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</w:t>
      </w:r>
      <w:r>
        <w:rPr>
          <w:rFonts w:ascii="Times New Roman" w:hAnsi="宋体" w:cs="Times New Roman"/>
          <w:kern w:val="0"/>
          <w:sz w:val="24"/>
          <w:szCs w:val="24"/>
        </w:rPr>
        <w:t>．文集中的文章</w:t>
      </w:r>
      <w:r>
        <w:rPr>
          <w:rFonts w:ascii="Times New Roman" w:hAnsi="Times New Roman" w:cs="Times New Roman"/>
          <w:kern w:val="0"/>
          <w:sz w:val="24"/>
          <w:szCs w:val="24"/>
        </w:rPr>
        <w:t> shorter works in collection</w:t>
      </w:r>
    </w:p>
    <w:p>
      <w:pPr>
        <w:widowControl/>
        <w:shd w:val="clear" w:color="auto" w:fill="FFFFFF"/>
        <w:spacing w:beforeLines="50" w:afterLines="50"/>
        <w:ind w:left="376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*  Lars Anell,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 Foreword</w:t>
      </w:r>
      <w:r>
        <w:rPr>
          <w:rFonts w:ascii="Times New Roman" w:hAnsi="Times New Roman" w:cs="Times New Roman"/>
          <w:kern w:val="0"/>
          <w:sz w:val="24"/>
          <w:szCs w:val="24"/>
        </w:rPr>
        <w:t>, in Daniel Gervais,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 The TRIPS Agreement: Drafting History and Analysis</w:t>
      </w:r>
      <w:r>
        <w:rPr>
          <w:rFonts w:ascii="Times New Roman" w:hAnsi="Times New Roman" w:cs="Times New Roman"/>
          <w:kern w:val="0"/>
          <w:sz w:val="24"/>
          <w:szCs w:val="24"/>
        </w:rPr>
        <w:t>, London</w:t>
      </w:r>
      <w:r>
        <w:rPr>
          <w:rFonts w:ascii="Times New Roman" w:hAnsi="宋体" w:cs="Times New Roman"/>
          <w:kern w:val="0"/>
          <w:sz w:val="24"/>
          <w:szCs w:val="24"/>
        </w:rPr>
        <w:t>：</w:t>
      </w:r>
      <w:r>
        <w:rPr>
          <w:rFonts w:ascii="Times New Roman" w:hAnsi="Times New Roman" w:cs="Times New Roman"/>
          <w:kern w:val="0"/>
          <w:sz w:val="24"/>
          <w:szCs w:val="24"/>
        </w:rPr>
        <w:t>Sweet &amp; Maxwell, 1998, p. 1.</w:t>
      </w:r>
    </w:p>
    <w:p>
      <w:pPr>
        <w:widowControl/>
        <w:shd w:val="clear" w:color="auto" w:fill="FFFFFF"/>
        <w:spacing w:beforeLines="50" w:afterLines="50"/>
        <w:ind w:left="379" w:hanging="379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</w:t>
      </w:r>
      <w:r>
        <w:rPr>
          <w:rFonts w:ascii="Times New Roman" w:hAnsi="宋体" w:cs="Times New Roman"/>
          <w:kern w:val="0"/>
          <w:sz w:val="24"/>
          <w:szCs w:val="24"/>
        </w:rPr>
        <w:t>．英文书</w:t>
      </w:r>
      <w:r>
        <w:rPr>
          <w:rFonts w:ascii="Times New Roman" w:hAnsi="Times New Roman" w:cs="Times New Roman"/>
          <w:kern w:val="0"/>
          <w:sz w:val="24"/>
          <w:szCs w:val="24"/>
        </w:rPr>
        <w:t> books</w:t>
      </w:r>
    </w:p>
    <w:p>
      <w:pPr>
        <w:widowControl/>
        <w:shd w:val="clear" w:color="auto" w:fill="FFFFFF"/>
        <w:spacing w:beforeLines="50" w:afterLines="50"/>
        <w:ind w:left="376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*  Richard A. Posner, 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The Problems of Jurisprudence</w:t>
      </w:r>
      <w:r>
        <w:rPr>
          <w:rFonts w:ascii="Times New Roman" w:hAnsi="Times New Roman" w:cs="Times New Roman"/>
          <w:kern w:val="0"/>
          <w:sz w:val="24"/>
          <w:szCs w:val="24"/>
        </w:rPr>
        <w:t>, Cambridge, MA: Harvard University Press, 1990, p.456.</w:t>
      </w:r>
    </w:p>
    <w:p>
      <w:pPr>
        <w:widowControl/>
        <w:shd w:val="clear" w:color="auto" w:fill="FFFFFF"/>
        <w:spacing w:beforeLines="50" w:afterLines="50"/>
        <w:ind w:left="379" w:hanging="379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</w:t>
      </w:r>
      <w:r>
        <w:rPr>
          <w:rFonts w:ascii="Times New Roman" w:hAnsi="宋体" w:cs="Times New Roman"/>
          <w:kern w:val="0"/>
          <w:sz w:val="24"/>
          <w:szCs w:val="24"/>
        </w:rPr>
        <w:t>．英美案例</w:t>
      </w:r>
      <w:r>
        <w:rPr>
          <w:rFonts w:ascii="Times New Roman" w:hAnsi="Times New Roman" w:cs="Times New Roman"/>
          <w:kern w:val="0"/>
          <w:sz w:val="24"/>
          <w:szCs w:val="24"/>
        </w:rPr>
        <w:t> cases </w:t>
      </w:r>
    </w:p>
    <w:p>
      <w:pPr>
        <w:widowControl/>
        <w:shd w:val="clear" w:color="auto" w:fill="FFFFFF"/>
        <w:spacing w:beforeLines="50" w:afterLines="50"/>
        <w:ind w:left="376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* 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New York Times Co. v. Sullivan</w:t>
      </w:r>
      <w:r>
        <w:rPr>
          <w:rFonts w:ascii="Times New Roman" w:hAnsi="Times New Roman" w:cs="Times New Roman"/>
          <w:kern w:val="0"/>
          <w:sz w:val="24"/>
          <w:szCs w:val="24"/>
        </w:rPr>
        <w:t>, 76 U.S. 254 (1964).</w:t>
      </w:r>
      <w:r>
        <w:rPr>
          <w:rFonts w:ascii="Times New Roman" w:hAnsi="宋体" w:cs="Times New Roman"/>
          <w:kern w:val="0"/>
          <w:sz w:val="24"/>
          <w:szCs w:val="24"/>
        </w:rPr>
        <w:t>（正文中出现也要斜体）</w:t>
      </w:r>
    </w:p>
    <w:p>
      <w:pPr>
        <w:widowControl/>
        <w:shd w:val="clear" w:color="auto" w:fill="FFFFFF"/>
        <w:spacing w:beforeLines="50" w:afterLines="50"/>
        <w:ind w:left="376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* 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Kobe, Inc. v. Dempsey Pump Co. , </w:t>
      </w:r>
      <w:r>
        <w:rPr>
          <w:rFonts w:ascii="Times New Roman" w:hAnsi="Times New Roman" w:cs="Times New Roman"/>
          <w:kern w:val="0"/>
          <w:sz w:val="24"/>
          <w:szCs w:val="24"/>
        </w:rPr>
        <w:t>198 F.2d 416, 420 (10th Cir. 1952).</w:t>
      </w:r>
    </w:p>
    <w:p>
      <w:pPr>
        <w:widowControl/>
        <w:shd w:val="clear" w:color="auto" w:fill="FFFFFF"/>
        <w:spacing w:beforeLines="50" w:afterLines="50"/>
        <w:ind w:left="379" w:hanging="379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5</w:t>
      </w:r>
      <w:r>
        <w:rPr>
          <w:rFonts w:ascii="Times New Roman" w:hAnsi="宋体" w:cs="Times New Roman"/>
          <w:kern w:val="0"/>
          <w:sz w:val="24"/>
          <w:szCs w:val="24"/>
        </w:rPr>
        <w:t>．未发表文章</w:t>
      </w:r>
      <w:r>
        <w:rPr>
          <w:rFonts w:ascii="Times New Roman" w:hAnsi="Times New Roman" w:cs="Times New Roman"/>
          <w:kern w:val="0"/>
          <w:sz w:val="24"/>
          <w:szCs w:val="24"/>
        </w:rPr>
        <w:t> unpublished manuscripts</w:t>
      </w:r>
    </w:p>
    <w:p>
      <w:pPr>
        <w:widowControl/>
        <w:shd w:val="clear" w:color="auto" w:fill="FFFFFF"/>
        <w:spacing w:beforeLines="50" w:afterLines="50"/>
        <w:ind w:left="376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*  Yu Li, 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On the Wealth and Risk Effects of the Glass-Steagall Overhaul: Evidence from the Stock Market</w:t>
      </w:r>
      <w:r>
        <w:rPr>
          <w:rFonts w:ascii="Times New Roman" w:hAnsi="Times New Roman" w:cs="Times New Roman"/>
          <w:kern w:val="0"/>
          <w:sz w:val="24"/>
          <w:szCs w:val="24"/>
        </w:rPr>
        <w:t>, New York University, 2001 (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unpublished manuscript, on file with author</w:t>
      </w:r>
      <w:r>
        <w:rPr>
          <w:rFonts w:ascii="Times New Roman" w:hAnsi="Times New Roman" w:cs="Times New Roman"/>
          <w:kern w:val="0"/>
          <w:sz w:val="24"/>
          <w:szCs w:val="24"/>
        </w:rPr>
        <w:t>).</w:t>
      </w:r>
    </w:p>
    <w:p>
      <w:pPr>
        <w:widowControl/>
        <w:shd w:val="clear" w:color="auto" w:fill="FFFFFF"/>
        <w:spacing w:beforeLines="50" w:afterLines="50"/>
        <w:ind w:left="379" w:hanging="379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宋体" w:cs="Times New Roman"/>
          <w:kern w:val="0"/>
          <w:sz w:val="24"/>
          <w:szCs w:val="24"/>
        </w:rPr>
        <w:t>．信件</w:t>
      </w:r>
      <w:r>
        <w:rPr>
          <w:rFonts w:ascii="Times New Roman" w:hAnsi="Times New Roman" w:cs="Times New Roman"/>
          <w:kern w:val="0"/>
          <w:sz w:val="24"/>
          <w:szCs w:val="24"/>
        </w:rPr>
        <w:t> letters</w:t>
      </w:r>
    </w:p>
    <w:p>
      <w:pPr>
        <w:widowControl/>
        <w:shd w:val="clear" w:color="auto" w:fill="FFFFFF"/>
        <w:spacing w:beforeLines="50" w:afterLines="50"/>
        <w:ind w:left="376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*  Letter from A to B of 12/23/2005, p.2.</w:t>
      </w:r>
    </w:p>
    <w:p>
      <w:pPr>
        <w:widowControl/>
        <w:shd w:val="clear" w:color="auto" w:fill="FFFFFF"/>
        <w:spacing w:beforeLines="50" w:afterLines="50"/>
        <w:ind w:left="379" w:hanging="379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7. </w:t>
      </w:r>
      <w:r>
        <w:rPr>
          <w:rFonts w:ascii="Times New Roman" w:hAnsi="宋体" w:cs="Times New Roman"/>
          <w:kern w:val="0"/>
          <w:sz w:val="24"/>
          <w:szCs w:val="24"/>
        </w:rPr>
        <w:t>采访</w:t>
      </w:r>
      <w:r>
        <w:rPr>
          <w:rFonts w:ascii="Times New Roman" w:hAnsi="Times New Roman" w:cs="Times New Roman"/>
          <w:kern w:val="0"/>
          <w:sz w:val="24"/>
          <w:szCs w:val="24"/>
        </w:rPr>
        <w:t> interviews</w:t>
      </w:r>
    </w:p>
    <w:p>
      <w:pPr>
        <w:widowControl/>
        <w:shd w:val="clear" w:color="auto" w:fill="FFFFFF"/>
        <w:spacing w:beforeLines="50" w:afterLines="50"/>
        <w:ind w:left="376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*  Telephone interview with A, (Oct 2, 1992).</w:t>
      </w:r>
    </w:p>
    <w:p>
      <w:pPr>
        <w:widowControl/>
        <w:shd w:val="clear" w:color="auto" w:fill="FFFFFF"/>
        <w:spacing w:beforeLines="50" w:afterLines="50"/>
        <w:ind w:left="379" w:hanging="379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8. </w:t>
      </w:r>
      <w:r>
        <w:rPr>
          <w:rFonts w:ascii="Times New Roman" w:hAnsi="宋体" w:cs="Times New Roman"/>
          <w:kern w:val="0"/>
          <w:sz w:val="24"/>
          <w:szCs w:val="24"/>
        </w:rPr>
        <w:t>网页</w:t>
      </w:r>
      <w:r>
        <w:rPr>
          <w:rFonts w:ascii="Times New Roman" w:hAnsi="Times New Roman" w:cs="Times New Roman"/>
          <w:kern w:val="0"/>
          <w:sz w:val="24"/>
          <w:szCs w:val="24"/>
        </w:rPr>
        <w:t> internet sources</w:t>
      </w:r>
    </w:p>
    <w:p>
      <w:pPr>
        <w:widowControl/>
        <w:shd w:val="clear" w:color="auto" w:fill="FFFFFF"/>
        <w:spacing w:beforeLines="50" w:afterLines="50"/>
        <w:ind w:left="376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*  Lu Xue, 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Zhou Zhengqing Talks on the Forthcoming Revision of Securities Law</w:t>
      </w:r>
      <w:r>
        <w:rPr>
          <w:rFonts w:ascii="Times New Roman" w:hAnsi="Times New Roman" w:cs="Times New Roman"/>
          <w:kern w:val="0"/>
          <w:sz w:val="24"/>
          <w:szCs w:val="24"/>
        </w:rPr>
        <w:t>, at </w:t>
      </w:r>
      <w:r>
        <w:fldChar w:fldCharType="begin"/>
      </w:r>
      <w:r>
        <w:instrText xml:space="preserve">HYPERLINK "http://www.fsi.com.cn/celeb300/visited303/303_0312/303_03123001.htm" </w:instrText>
      </w:r>
      <w:r>
        <w:fldChar w:fldCharType="separate"/>
      </w:r>
      <w:r>
        <w:rPr>
          <w:rFonts w:ascii="Times New Roman" w:hAnsi="Times New Roman" w:cs="Times New Roman"/>
          <w:kern w:val="0"/>
          <w:sz w:val="24"/>
          <w:szCs w:val="24"/>
        </w:rPr>
        <w:t>http://www.fsi.com.cn/celeb300/visited303/303_0312/303_03123001.htm</w:t>
      </w:r>
      <w:r>
        <w:fldChar w:fldCharType="end"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>
        <w:rPr>
          <w:rFonts w:ascii="Times New Roman" w:hAnsi="宋体" w:cs="Times New Roman"/>
          <w:kern w:val="0"/>
          <w:sz w:val="24"/>
          <w:szCs w:val="24"/>
        </w:rPr>
        <w:t>最后访问日期</w:t>
      </w:r>
      <w:r>
        <w:rPr>
          <w:rFonts w:ascii="Times New Roman" w:hAnsi="Times New Roman" w:cs="Times New Roman"/>
          <w:kern w:val="0"/>
          <w:sz w:val="24"/>
          <w:szCs w:val="24"/>
        </w:rPr>
        <w:t>2008</w:t>
      </w:r>
      <w:r>
        <w:rPr>
          <w:rFonts w:ascii="Times New Roman" w:hAnsi="宋体" w:cs="Times New Roman"/>
          <w:kern w:val="0"/>
          <w:sz w:val="24"/>
          <w:szCs w:val="24"/>
        </w:rPr>
        <w:t>年</w:t>
      </w:r>
      <w:r>
        <w:rPr>
          <w:rFonts w:ascii="Times New Roman" w:hAnsi="Times New Roman" w:cs="Times New Roman"/>
          <w:kern w:val="0"/>
          <w:sz w:val="24"/>
          <w:szCs w:val="24"/>
        </w:rPr>
        <w:t>8</w:t>
      </w:r>
      <w:r>
        <w:rPr>
          <w:rFonts w:ascii="Times New Roman" w:hAnsi="宋体" w:cs="Times New Roman"/>
          <w:kern w:val="0"/>
          <w:sz w:val="24"/>
          <w:szCs w:val="24"/>
        </w:rPr>
        <w:t>月</w:t>
      </w:r>
      <w:r>
        <w:rPr>
          <w:rFonts w:ascii="Times New Roman" w:hAnsi="Times New Roman" w:cs="Times New Roman"/>
          <w:kern w:val="0"/>
          <w:sz w:val="24"/>
          <w:szCs w:val="24"/>
        </w:rPr>
        <w:t>1</w:t>
      </w:r>
      <w:r>
        <w:rPr>
          <w:rFonts w:ascii="Times New Roman" w:hAnsi="宋体" w:cs="Times New Roman"/>
          <w:kern w:val="0"/>
          <w:sz w:val="24"/>
          <w:szCs w:val="24"/>
        </w:rPr>
        <w:t>日。</w:t>
      </w:r>
    </w:p>
    <w:p>
      <w:pPr>
        <w:spacing w:beforeLines="50" w:afterLines="50"/>
        <w:rPr>
          <w:rFonts w:ascii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D1707"/>
    <w:rsid w:val="0010311A"/>
    <w:rsid w:val="003A7FD5"/>
    <w:rsid w:val="005E6A5C"/>
    <w:rsid w:val="00630F40"/>
    <w:rsid w:val="008B206F"/>
    <w:rsid w:val="00912DB1"/>
    <w:rsid w:val="00930088"/>
    <w:rsid w:val="00A75196"/>
    <w:rsid w:val="00AA5EE3"/>
    <w:rsid w:val="00AB199C"/>
    <w:rsid w:val="00AD1707"/>
    <w:rsid w:val="00C44435"/>
    <w:rsid w:val="00DB544C"/>
    <w:rsid w:val="00DC2268"/>
    <w:rsid w:val="00E37D72"/>
    <w:rsid w:val="00FC288A"/>
    <w:rsid w:val="669C33B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99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9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apple-converted-space"/>
    <w:basedOn w:val="5"/>
    <w:uiPriority w:val="0"/>
    <w:rPr/>
  </w:style>
  <w:style w:type="character" w:customStyle="1" w:styleId="9">
    <w:name w:val="脚注文本 Char"/>
    <w:basedOn w:val="5"/>
    <w:link w:val="4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上海财经大学</Company>
  <Pages>3</Pages>
  <Words>425</Words>
  <Characters>2428</Characters>
  <Lines>20</Lines>
  <Paragraphs>5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2013-03-17T02:20:00Z</dcterms:created>
  <dc:creator>test</dc:creator>
  <cp:lastModifiedBy>Administrator</cp:lastModifiedBy>
  <dcterms:modified xsi:type="dcterms:W3CDTF">2015-08-03T02:49:15Z</dcterms:modified>
  <dc:title>上海财经大学法学院学位论文注释体例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